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9837B" w14:textId="77777777" w:rsidR="00793773" w:rsidRPr="00793773" w:rsidRDefault="00793773" w:rsidP="00793773">
      <w:pPr>
        <w:autoSpaceDE w:val="0"/>
        <w:autoSpaceDN w:val="0"/>
        <w:adjustRightInd w:val="0"/>
        <w:spacing w:line="240" w:lineRule="auto"/>
        <w:ind w:right="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1. </w:t>
      </w:r>
      <w:r w:rsidRPr="0079377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Watch the speech on the ‘Economics of enough’ at  </w:t>
      </w: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400C6">
        <w:fldChar w:fldCharType="begin"/>
      </w:r>
      <w:r w:rsidR="00F400C6" w:rsidRPr="00480057">
        <w:rPr>
          <w:lang w:val="en-US"/>
        </w:rPr>
        <w:instrText xml:space="preserve"> HYPERLINK "https://www.youtube.com/watch?v=WIG33QtLRyA" </w:instrText>
      </w:r>
      <w:r w:rsidR="00F400C6">
        <w:fldChar w:fldCharType="separate"/>
      </w:r>
      <w:r w:rsidRPr="00793773">
        <w:rPr>
          <w:rStyle w:val="-"/>
          <w:rFonts w:ascii="Times New Roman" w:hAnsi="Times New Roman" w:cs="Times New Roman"/>
          <w:sz w:val="24"/>
          <w:szCs w:val="24"/>
          <w:lang w:val="en-US"/>
        </w:rPr>
        <w:t>https://www.youtube.com/watch?v=WIG33QtLRyA</w:t>
      </w:r>
      <w:r w:rsidR="00F400C6">
        <w:rPr>
          <w:rStyle w:val="-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D5E55F" w14:textId="77777777" w:rsidR="00793773" w:rsidRPr="00793773" w:rsidRDefault="00793773" w:rsidP="00793773">
      <w:pPr>
        <w:autoSpaceDE w:val="0"/>
        <w:autoSpaceDN w:val="0"/>
        <w:adjustRightInd w:val="0"/>
        <w:spacing w:line="240" w:lineRule="auto"/>
        <w:ind w:right="83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Read the following text and complete the table at the end. </w:t>
      </w:r>
    </w:p>
    <w:p w14:paraId="49CD2DA6" w14:textId="77777777" w:rsidR="0032133A" w:rsidRPr="00793773" w:rsidRDefault="0032133A" w:rsidP="00480057">
      <w:pPr>
        <w:autoSpaceDE w:val="0"/>
        <w:autoSpaceDN w:val="0"/>
        <w:adjustRightInd w:val="0"/>
        <w:spacing w:line="240" w:lineRule="auto"/>
        <w:ind w:right="83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Four Worldviews on Global Environmental Change</w:t>
      </w:r>
    </w:p>
    <w:p w14:paraId="5F5D25B9" w14:textId="77777777" w:rsidR="00573553" w:rsidRPr="00793773" w:rsidRDefault="0032133A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793773">
        <w:rPr>
          <w:rFonts w:ascii="Times New Roman" w:hAnsi="Times New Roman" w:cs="Times New Roman"/>
          <w:bCs/>
          <w:sz w:val="24"/>
          <w:szCs w:val="24"/>
          <w:lang w:val="en-US"/>
        </w:rPr>
        <w:t>Source: J.</w:t>
      </w:r>
      <w:r w:rsidR="00793773" w:rsidRPr="00793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Clapp </w:t>
      </w:r>
      <w:r w:rsidR="00E65B46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(2005</w:t>
      </w:r>
      <w:r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)</w:t>
      </w:r>
      <w:r w:rsidRPr="00793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‘</w:t>
      </w:r>
      <w:r w:rsidR="000A089F" w:rsidRPr="00793773">
        <w:rPr>
          <w:rFonts w:ascii="Times New Roman" w:hAnsi="Times New Roman" w:cs="Times New Roman"/>
          <w:bCs/>
          <w:sz w:val="24"/>
          <w:szCs w:val="24"/>
          <w:lang w:val="en-US"/>
        </w:rPr>
        <w:t>Peril or Prosperity? Mapping Worldviews of</w:t>
      </w:r>
      <w:r w:rsidR="00573553" w:rsidRPr="00793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A089F" w:rsidRPr="00793773">
        <w:rPr>
          <w:rFonts w:ascii="Times New Roman" w:hAnsi="Times New Roman" w:cs="Times New Roman"/>
          <w:bCs/>
          <w:sz w:val="24"/>
          <w:szCs w:val="24"/>
          <w:lang w:val="en-US"/>
        </w:rPr>
        <w:t>Global Environmental Change</w:t>
      </w:r>
      <w:r w:rsidRPr="007937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in </w:t>
      </w:r>
      <w:r w:rsidR="00573553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Clapp, J., &amp; </w:t>
      </w:r>
      <w:proofErr w:type="spellStart"/>
      <w:r w:rsidR="00573553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Dauvergne</w:t>
      </w:r>
      <w:proofErr w:type="spellEnd"/>
      <w:r w:rsidR="00573553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P.</w:t>
      </w:r>
      <w:r w:rsidR="00573553" w:rsidRPr="0079377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 </w:t>
      </w:r>
      <w:r w:rsidR="00573553" w:rsidRPr="007937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Paths to a Green World </w:t>
      </w:r>
      <w:proofErr w:type="gramStart"/>
      <w:r w:rsidR="00573553" w:rsidRPr="007937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The</w:t>
      </w:r>
      <w:proofErr w:type="gramEnd"/>
      <w:r w:rsidR="00573553" w:rsidRPr="0079377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 Political Economy of the Global Environment</w:t>
      </w:r>
      <w:r w:rsidR="00573553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="00E65B46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Academic MIT Press</w:t>
      </w:r>
      <w:r w:rsidR="00573553" w:rsidRPr="007937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137D240B" w14:textId="77777777" w:rsidR="00FD5463" w:rsidRPr="00793773" w:rsidRDefault="00FD5463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DC7ACF" w14:textId="77777777" w:rsidR="00573553" w:rsidRPr="00793773" w:rsidRDefault="00573553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sz w:val="24"/>
          <w:szCs w:val="24"/>
          <w:lang w:val="en-US"/>
        </w:rPr>
        <w:t>Four Environmental Worldviews</w:t>
      </w:r>
    </w:p>
    <w:p w14:paraId="1F60359C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We present four main worldviews on global environmental change and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its relationship to the global political economy: those of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market liberals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institutionalists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bioenvironmentalists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greens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. These labels are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intentionally transdisciplinary. Many books on the global environment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confine the analysis to one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disciplinary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box—by limiting it, say, to political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science theories or to economic models. This leaves far too many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questions badly answered and far too many questions unasked. But we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have had to make some choices. It is, of course, impossible to cover all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disciplinary perspectives in one book. In our case we have chosen to rely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mostly on the tools of political science, economics, development studies,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studies, political geography, and sociology. This focus, we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believe, is narrow enough to do justice to the literature in these disciplines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while still broad enough to provide new insights into the sources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of environmental change and the possible options—both theoretical and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practical—for managing it.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[…]</w:t>
      </w:r>
    </w:p>
    <w:p w14:paraId="48F5766A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Within the political and economic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literature, we stress arguments and theories that try to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explain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change—that is, the literature that looks at an environmental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 and asks: Why is that happening? What is causing it?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what can be done?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CCAB0F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With those introductory remarks, we now turn to our typology.</w:t>
      </w:r>
    </w:p>
    <w:p w14:paraId="45CB1D2A" w14:textId="77777777" w:rsidR="00D55D4E" w:rsidRPr="00793773" w:rsidRDefault="00D55D4E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2AAF60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 Liberals</w:t>
      </w:r>
    </w:p>
    <w:p w14:paraId="2C96A48F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The analysis of market liberals is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grounded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in neoclassical economics and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scientific research. Market liberals believe that economic growth and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high per capita incomes are essential for human welfare and the maintenance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of sustainable development. Sustainable development is generally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defined by these thinkers along the lines of the 1987 World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Commission on Environment and Development (WCED): “development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that meets the needs of the present without compromising the ability of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future generations to m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>eet their own needs.”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In terms of improving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 environmental conditions, market liberals argue that economic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growth (production and consumption) creates higher incomes, which in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turn generates the funds and political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will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improve environmental conditions.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Rapid growth may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exacerbate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inequalities, as some of the rich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become super rich, but in the long run all will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be better off.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In other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words, all boats will rise. Market-liberal analysis along these lines is commonly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found, for example, in publications of the World Bank, the World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Trade Organization (WTO), and the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World Business Council for Sus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tainable Development (WBCSD), as well as in the media in publications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Economist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33BBA5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Market liberals see globalization as a positive force, because it promotes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economic growth as well as global integration. They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concede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as states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pursu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 economic growth, environmental conditions—such as</w:t>
      </w:r>
      <w:r w:rsidR="00E674B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air and water quality—may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deteriorate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as governments and citizens give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firms more scope to pursue short-term profits, thus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lastRenderedPageBreak/>
        <w:t>stimulating further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economic growth. But once a society becomes wealthy, citizens (and in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turn governments and business) will raise environmental standards and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expectations.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Economist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magazine explains the global pattern: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“Where most of the economic growth has occurred—the rich countries—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environment has become cleaner and healthier. It is in the poor countries,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where growth has been generally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meagre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, that air and water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pollution is a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>n increasing hazard to health.”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The key, market liberals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argue, is good policy to ensure that economic growth improves the environment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 all countries.</w:t>
      </w:r>
    </w:p>
    <w:p w14:paraId="1DB27D8A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The main drivers of environmental degradation, according to market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liberals, are a lack of economic growth, poverty, distortions and failures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of the market, and bad policies. The poor are not viewed as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unconcerned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ignorant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. Rather, to survive—to eat, to build homes, to earn a living—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they must exploit the natural resources around them. They are, according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the World Bank, both “victims and agents of environmental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damage.” It is unrealistic, perhaps even unjust, to ask the poor to consider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implications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of their survival for future generations. The only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way out of this vicious cycle is to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alleviate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poverty, for which growth is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essential.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Restrictive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trade and investment policies and a lack of secure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property rights all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hamper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the ability of the market to foster growth and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reduce poverty. Market failures—instances where the free market results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 an environmentally suboptimal outcome—are viewed as possible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causes of some environmental problems, although these are seen as relatively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rare in practice. More often, market liberals argue, poor government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policies—especially those that distort the market, such as</w:t>
      </w:r>
      <w:r w:rsidR="0057355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subsidies—are the problem.</w:t>
      </w:r>
    </w:p>
    <w:p w14:paraId="6386CD61" w14:textId="77777777" w:rsidR="000A089F" w:rsidRPr="00793773" w:rsidRDefault="00CE7C34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p w14:paraId="4581EF8F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Thinkers from the market-liberal tradition place great faith in the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ability of modern science and technology to help societies slip out of any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binds that may occur (if, for example, there are unavoidable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market failures). Human i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ngenuity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is seen to have no limits. If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resources become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scarce,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or if pollution becomes a problem, humans will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discover substitutes and develop new, more environmentally friendly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technologies. Market liberals see advances in agricultural biotechnology,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for example, as a key answer to providing more food for a growing world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population. Their belief in science leaves most market liberals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wary o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7C34"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precautionary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policies that restrict the use of new technology, unless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there is clear scientific evidence to demonstrate it is harmful.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Market liberals believe open and globally integrated markets promote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growth, which in turn helps societies find ways to improve or repair environmental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conditions. To achieve these goals market </w:t>
      </w:r>
      <w:proofErr w:type="gramStart"/>
      <w:r w:rsidRPr="00793773">
        <w:rPr>
          <w:rFonts w:ascii="Times New Roman" w:hAnsi="Times New Roman" w:cs="Times New Roman"/>
          <w:sz w:val="24"/>
          <w:szCs w:val="24"/>
          <w:lang w:val="en-US"/>
        </w:rPr>
        <w:t>liberals</w:t>
      </w:r>
      <w:proofErr w:type="gram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call for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policy reforms to liberalize trade and investment, foster specialization,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reduce government subsidies that distort markets and waste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resources. Governments, too, need to strengthen some institutions, such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as institutions to secure property rights or institutions to educate and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train the poor to protect the environment. Governments are encouraged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use market-based tools—for example, environmental taxes or tradable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pollution permits—to correct situations of genuine market failure.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Innovative environmental markets—like a global scheme to trade carbon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emissions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or niche markets for environmental products such as timber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from sustainable sources—and voluntary corporate measures to promote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environmental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stewardship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are also reasonable ways to improve environmental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management. But in most </w:t>
      </w:r>
      <w:proofErr w:type="gramStart"/>
      <w:r w:rsidRPr="00793773">
        <w:rPr>
          <w:rFonts w:ascii="Times New Roman" w:hAnsi="Times New Roman" w:cs="Times New Roman"/>
          <w:sz w:val="24"/>
          <w:szCs w:val="24"/>
          <w:lang w:val="en-US"/>
        </w:rPr>
        <w:t>cases</w:t>
      </w:r>
      <w:proofErr w:type="gram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it is best to let the market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allocate resources efficiently. Market liberals, such as the economist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Jagdish Bhagwati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and the business executive Stephan </w:t>
      </w:r>
      <w:proofErr w:type="spellStart"/>
      <w:r w:rsidRPr="00793773">
        <w:rPr>
          <w:rFonts w:ascii="Times New Roman" w:hAnsi="Times New Roman" w:cs="Times New Roman"/>
          <w:sz w:val="24"/>
          <w:szCs w:val="24"/>
          <w:lang w:val="en-US"/>
        </w:rPr>
        <w:t>Schmidheiny</w:t>
      </w:r>
      <w:proofErr w:type="spellEnd"/>
      <w:r w:rsidRPr="007937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strongly argue that it makes economic sense for firms to improve their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performance, and for this reason it makes sense to let the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market guide them.</w:t>
      </w:r>
    </w:p>
    <w:p w14:paraId="24D01B51" w14:textId="77777777" w:rsidR="00CE7C34" w:rsidRPr="00793773" w:rsidRDefault="00CE7C34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4A826" w14:textId="77777777" w:rsidR="00CE7C34" w:rsidRPr="00793773" w:rsidRDefault="00CE7C34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A39CB6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Institutionalists</w:t>
      </w:r>
    </w:p>
    <w:p w14:paraId="46BFC2F7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The ideas of institutionalists are grounded in the fields of political science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international relations. They share many of the broad assumptions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arguments of market liberals—especially the belief in the value of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economic growth, globalization, trade, foreign investment, technology,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the notion of sustainable development. Indeed, moderate institutionalists</w:t>
      </w:r>
      <w:r w:rsidR="00CE7C34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sit close to moderate market liberals. It is a matter of emphasis.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Market liberals stress more the benefits and dynamic solutions of free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markets and technology; institutionalists emphasize the need for stronger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 institutions and norms as well as sufficient state and local capacity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constrain and direct the global political economy. Institutions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provide a crucial route to transfer technology and funds to the poorest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parts of the planet. Institutionalists also worry far more than market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liberals about environmental scarcity, population growth, and the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growing inequalities between and within states. But they do not see these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problems as beyond hope. To address them, they stress the need for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strong institutions and norms to protect the common good. Institutionalist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analysis is found in publications by organizations such as the United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Nations Environment </w:t>
      </w:r>
      <w:proofErr w:type="spellStart"/>
      <w:r w:rsidRPr="00793773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(UNEP) and by many academics who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focus their analysis on “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regimes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” (international environmental agreements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norms, defined more precisely in chapter 3) in the fields of</w:t>
      </w:r>
      <w:r w:rsidR="00C57021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political science and law.</w:t>
      </w:r>
    </w:p>
    <w:p w14:paraId="45A75732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Institutionalists see a lack of global cooperation as a key source of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degradation. Ineffective cooperation partly arises because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of the nature of the sovereign state system, which gives a state supreme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authority within its boundaries. In such a system states tend to act in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their own interest, generally leaving aside the interest of the global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commons. Yet like market liberals, institutionalists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 not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reject the way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we have organized political and economic life on the planet. Instead they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believe we can overcome the problem of sovereignty as the organizing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principle of the international system by building and strengthening global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local institutions that promote state adherence to collective goals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norms. This can be most effectively carried out through global-level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agreements and organizations.</w:t>
      </w:r>
    </w:p>
    <w:p w14:paraId="3FC8EE5C" w14:textId="77777777" w:rsidR="00913CC6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The process of globalization makes global cooperation increasingly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essential (and increasingly inevitable). But institutionalists stress that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unfettered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globalization can add to the pressures on the global environment.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task for those worried about the state of the global environment,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then, is to guide and channel globalization, so it enhances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cooperation and better environmental management. This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point has been stressed most forcefully by key policy figures such as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former Norwegian Prime Minister Gro Harlem Brundtland in her role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 the 1980s as head of the World Commission on Environment and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Development and Canadian diplomat Maurice Strong as organizer of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 environmental conferences. The aim of this approach is to ensure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that global economic policies work to both improve the environment and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raise living standards. Controls at all levels of governance, from the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local to the national to the global, can help to direct globalization,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enhancing the benefits and limiting the drawbacks.</w:t>
      </w:r>
    </w:p>
    <w:p w14:paraId="1A6D070E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For the global environment, institutionalists believe that institutions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need to internalize the principles of sustainable development, including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into the decision-making processes of state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bureaucracie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s, corporations,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international organizations. Only then will we be able to manage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economies and environments effectively—especially for common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resources. 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>[…]</w:t>
      </w:r>
    </w:p>
    <w:p w14:paraId="63B47070" w14:textId="77777777" w:rsidR="00D55D4E" w:rsidRPr="00793773" w:rsidRDefault="00D55D4E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4A560D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t>Bioenvironmentalists</w:t>
      </w:r>
    </w:p>
    <w:p w14:paraId="6AD3F0A2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lastRenderedPageBreak/>
        <w:t>Inspired by the laws of physical science, bioenvironmentalists stress the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biological limits of the earth to support life. The planet is fragile, an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ecosystem like any other. Some even see the earth as behaving like a living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being, a self-regulating, complex, and holistic superorganism—the so</w:t>
      </w:r>
      <w:r w:rsidR="00D9218C" w:rsidRPr="0079377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called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Gaia hypothesis, as articulated by environmental scientist James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Lovelock. The earth can support life, but only to a certain limit, often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referred to as the earth’s “carrying capacity.” Many bioenvironmentalists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see humans as anthropocentric and selfish (or at least self-interested)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animals. Some, like the academic William Rees, even see humans as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having “a genetic predisposition for unsustainability.” All bioenvironmentalists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agree that humans as a species now consume far too much of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the earth’s resources, such that we are near, or indeed have already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overstepped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earth’s carrying capacity. Such behavior, without drastic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changes, will push the planet toward a fate not much different from the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ecological calamity of Easter Island of 300 years ago—where a once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thriving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people became over a few centuries “about 2000 wretched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individuals . . . eking out a sparse existence from a d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enuded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landscape</w:t>
      </w:r>
      <w:r w:rsidR="00913CC6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cannibalistic raids on each other’s camps.” These scholars stress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environmental disasters around us, often citing shocking figures 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such problems as overfishing, deforestation, species loss, and unstable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weather patterns. Publications of the </w:t>
      </w:r>
      <w:proofErr w:type="spellStart"/>
      <w:r w:rsidRPr="00793773">
        <w:rPr>
          <w:rFonts w:ascii="Times New Roman" w:hAnsi="Times New Roman" w:cs="Times New Roman"/>
          <w:sz w:val="24"/>
          <w:szCs w:val="24"/>
          <w:lang w:val="en-US"/>
        </w:rPr>
        <w:t>Worldwatch</w:t>
      </w:r>
      <w:proofErr w:type="spell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Institute and the WWF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illustrative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of this perspective.</w:t>
      </w:r>
    </w:p>
    <w:p w14:paraId="5FC374BB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For most bioenvironmentalists population growth is a key source of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stress on the earth’s limits. The ideas of Thomas Malthus (1766–1834),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who in “An Essay on the Principle of Population” predicted that the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human population would soon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outstrip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food supply, were revived in the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late 1960s by writers such as biologist Paul Ehrlich. Sometimes known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as neo-Malthusians, these writers argue that global environmental problems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ultimately stem from too many people on a planet with finite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resources. The principle of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sovereignty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, which divides the world into artificial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territories,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aggravates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effects of too many humans, because it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violates the principles of ecology and creates what academic Garrett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Hardin famously called a “tragedy of the commons.” For him, too many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people without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overarching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rules on how to use the commons creates a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situation where individuals, rationally seeking to maximize their own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gain at the expense of others, overuse and ultimately destroy the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commons. This point, stressed by many bioenvironmentalists, is also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made by many institutionalists, as discussed earlier.</w:t>
      </w:r>
    </w:p>
    <w:p w14:paraId="686209C4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Many bioenvironmentalists stress, too, that the neoclassical economic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assumption of infinite economic growth is a key source of today’s global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environmental crisis. For these thinkers, a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relentless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drive to produce ever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more in the name of economic growth is exhausting our resources and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polluting the planet. Many argue that the drive to pursue ever more economic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growth is what has taken the earth beyond </w:t>
      </w:r>
      <w:proofErr w:type="gramStart"/>
      <w:r w:rsidRPr="00793773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gram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carrying capacity.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For bioenvironmentalists, human consumption patterns are as great a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 as population growth, and the two are seen as inextricably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linked. They argue that together rising populations and consumption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are drawing down the earth’s limited resources, and that we must respect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biophysical limits to growth: both for people and economies.</w:t>
      </w:r>
    </w:p>
    <w:p w14:paraId="141D8A42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Not all bioenvironmentalists engage directly in discussions on economic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globalization, but those that do tend to see globalization as a negative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force for the environment. They agree with market liberals that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globalization enhances economic growth. But instead of seeing this as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positive for the environment, they see it as contributing to further environmental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degradation. For them, more growth only means more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consumption of natural resources and more stress on waste sinks. Globalization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is blamed, too, for spreading Western patterns of consumption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into the developing world. With much larger populations and often more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fragile ecosystems (especially in the tropics), this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lastRenderedPageBreak/>
        <w:t>spread of consumerism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is accelerating the collapse of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the global ecosystem.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Globalization is also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seen to encourage environmentally harmful production processes in poor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countries that have 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>lower environmental standards.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For these reasons,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these bioenvironmentalists argue that we must curtail economic globalization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save the planet.</w:t>
      </w:r>
    </w:p>
    <w:p w14:paraId="4C4DC896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Solutions proposed by bioenvironmentalists flow logically from their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analysis of the causes of environmental damage: we need to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curb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economic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population growth. Those who focus on the limits to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economic growth have been a core group in the field of ecological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economics, pioneered by thinkers suc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h as the economist Herman Daly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and published in journals such as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Ecological Economics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. This group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combines ideas from the physical sciences and economics to develop proposals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revamp economic models to include the notion of physical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limits, which involves changing our measures of “progress” and the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methods we use to promote it. Only then, these thinkers argue, can we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reduce the impact of humans on the planet and prod the world toward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 more sustainable global economy. Those bioenvironmentalists who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focus more on overpopulation call for measures to lower population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growth, like expanding family planning programs in the Third World,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for curbs on immigration to rich countries where consumption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problems are the worst. At the more extreme end, some see a world government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with coercive powers as the best way to control the human lust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fill all ecological space, destroying it, often inadvertently, in the</w:t>
      </w:r>
      <w:r w:rsidR="00692D88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process.</w:t>
      </w:r>
    </w:p>
    <w:p w14:paraId="5F150EB0" w14:textId="77777777" w:rsidR="00D55D4E" w:rsidRPr="00793773" w:rsidRDefault="00D55D4E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E15ADE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 Greens</w:t>
      </w:r>
    </w:p>
    <w:p w14:paraId="7167C3D2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Social greens, drawing primarily on radical social and economic theories,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see social and environmental problems as inseparable. Inequality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domination, exacerbated by economic globalization, are seen as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leading to unequal access to resources as well as unequal exposure to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environmental harms. While these views have long been important in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debates over environment and </w:t>
      </w:r>
      <w:proofErr w:type="gramStart"/>
      <w:r w:rsidRPr="00793773">
        <w:rPr>
          <w:rFonts w:ascii="Times New Roman" w:hAnsi="Times New Roman" w:cs="Times New Roman"/>
          <w:sz w:val="24"/>
          <w:szCs w:val="24"/>
          <w:lang w:val="en-US"/>
        </w:rPr>
        <w:t>development, and</w:t>
      </w:r>
      <w:proofErr w:type="gram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are themselves a mix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of a variety of radical views, scholars in international political economy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have only recently recognized them as a distinct perspective.</w:t>
      </w:r>
    </w:p>
    <w:p w14:paraId="34D052F0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Many social greens from a more activist stance focus on the destructive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effects of the global spread of large-scale industrial life. Accelerated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by the process of globalization, large-scale industrialism is seen to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encourage inequality characterized by overconsumption by the wealthy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while at the same time contributing to poverty and environmental degradation.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While agreeing broadly with this analysis, other, more academic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social greens draw on Marxist thought, pointing specifically to capitalism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as a primary driver of social and environmental injustice in a globalized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world. They argue that capitalism, and its global spread via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neocolonial relations between rich and poor countries, not only leads to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 unequal distribution of global income, power, and environmental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problems, but is a threat to human survival. Also inspired by Marxist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thought, some social greens take a neo-Gramscian, or historical materialist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perspective, focusing on the way those in power frame and influence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ecological problems, primarily hegemonic blocs consisting of large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corporations and industrial country governments. Other social greens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like Vandana Shiva draw heavily from feminist theory to argue that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patriarchal relationships in the global economy are intricately tied to ecological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destruction. The key concern of all of these strands of social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green thought, then, is inequality and the environmental consequences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related to it. Social green analysis can be found in magazines such as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="00941537"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Ecologist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and in reports of groups such as the International Forum on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Globalization (IFG) and the Third World Network (TWN).</w:t>
      </w:r>
    </w:p>
    <w:p w14:paraId="370AA092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Social greens sympathize with bioenvironmentalist arguments that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physical limits to economic growth exist. Overconsumption, particularly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in rich industrialized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lastRenderedPageBreak/>
        <w:t>countries, is seen by social greens to put a great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strain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on the global environment. Many, perhaps most prominently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Wolfgang Sachs and Edward Goldsmith, see this problem as accelerating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 an era of economic globalization. The arguments of social greens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on growth and consumption, and on the role of the global economy in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accelerating both, are close to bioenvironmentalist arguments. But few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social greens accept bioenvironmentalist arguments regarding population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growth, instead maintaining that overconsumption, particularly among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the rich in the First World, is a far greater problem. Unlike bioenvironmentalists,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most social greens see population-control policies as a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threat to the self-deter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>mination of women and the poor.</w:t>
      </w:r>
    </w:p>
    <w:p w14:paraId="2DBEE3A5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Whether it is viewed as spreading industrialism or capitalism (or both),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social greens uniformly oppose economic globalization, arguing that it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is a key factor behind much of what is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wrong with the global system.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 addition to feeding environmentally destructive growth and consumption,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globalization is seen to breed injustice in a number of ways.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It exacerbates the inequality within and between countries. It reinforces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the domination of the global rich and the </w:t>
      </w:r>
      <w:r w:rsidRPr="00793773">
        <w:rPr>
          <w:rFonts w:ascii="Times New Roman" w:hAnsi="Times New Roman" w:cs="Times New Roman"/>
          <w:sz w:val="24"/>
          <w:szCs w:val="24"/>
          <w:u w:val="single"/>
          <w:lang w:val="en-US"/>
        </w:rPr>
        <w:t>marginalization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of women,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indigenous peoples, and the poor. It assists corporate exploitation of the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developing world (especially labor and natural resources). It weakens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local community autonomy and imposes new forms of domination that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are Western and patriarchal (local customs, norms, and knowledge are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lost, replaced by new forms unsuited to these new locations). Globalization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is also seen to destroy local livelihoods, leaving large numbers of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people disconnected from the environment in both rich and poor countries.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This globalization is viewed by many social greens as a continuation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of earlier waves of domination and control. In the words of the</w:t>
      </w:r>
      <w:r w:rsidR="00941537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prominent </w:t>
      </w:r>
      <w:proofErr w:type="spellStart"/>
      <w:r w:rsidRPr="00793773">
        <w:rPr>
          <w:rFonts w:ascii="Times New Roman" w:hAnsi="Times New Roman" w:cs="Times New Roman"/>
          <w:sz w:val="24"/>
          <w:szCs w:val="24"/>
          <w:lang w:val="en-US"/>
        </w:rPr>
        <w:t>antiglobalization</w:t>
      </w:r>
      <w:proofErr w:type="spell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activist Vandana Shiva, “The ‘global’ of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today reflects a modern version of the global reach of the handful of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British merchant adventurers who, as the East India Company, later, the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British Empire raided and lo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>oted large areas of the world.”</w:t>
      </w:r>
    </w:p>
    <w:p w14:paraId="0F300C48" w14:textId="77777777" w:rsidR="000A089F" w:rsidRPr="00793773" w:rsidRDefault="000A089F" w:rsidP="0079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3773">
        <w:rPr>
          <w:rFonts w:ascii="Times New Roman" w:hAnsi="Times New Roman" w:cs="Times New Roman"/>
          <w:sz w:val="24"/>
          <w:szCs w:val="24"/>
          <w:lang w:val="en-US"/>
        </w:rPr>
        <w:t>From this analysis, it is not surprising that social greens reject the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current global economy. Reactive crisis management in a globalized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world, social greens believe, will not suffice to save the planet: tinkering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will just momentarily stall the crash. In many instances the environmental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solutions of market liberals and institutionalists, because they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assume globalization brings environmental benefits, are part of the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problem. For social greens major reforms are necessary, well beyond, for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example, just strengthening institutions or internalizing environmental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and social costs into the price of traded goods. </w:t>
      </w:r>
      <w:proofErr w:type="gramStart"/>
      <w:r w:rsidRPr="00793773">
        <w:rPr>
          <w:rFonts w:ascii="Times New Roman" w:hAnsi="Times New Roman" w:cs="Times New Roman"/>
          <w:sz w:val="24"/>
          <w:szCs w:val="24"/>
          <w:lang w:val="en-US"/>
        </w:rPr>
        <w:t>Thus</w:t>
      </w:r>
      <w:proofErr w:type="gramEnd"/>
      <w:r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social greens, as the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work of the International Forum on Globalization exemplifies, call for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 dismantling of current global economic structures and institutions.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To replace this, many social greens advocate a return to local community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3773">
        <w:rPr>
          <w:rFonts w:ascii="Times New Roman" w:hAnsi="Times New Roman" w:cs="Times New Roman"/>
          <w:sz w:val="24"/>
          <w:szCs w:val="24"/>
          <w:lang w:val="en-US"/>
        </w:rPr>
        <w:t>autonomy to rejuvenate social relations and restore the natural environment.</w:t>
      </w:r>
      <w:r w:rsidR="00770E63" w:rsidRPr="00793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53E9BE" w14:textId="77777777" w:rsidR="00D55D4E" w:rsidRPr="00793773" w:rsidRDefault="00D55D4E" w:rsidP="0079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3AF1B8" w14:textId="77777777" w:rsidR="00692D88" w:rsidRPr="00793773" w:rsidRDefault="00770E63" w:rsidP="00793773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93773">
        <w:rPr>
          <w:rFonts w:ascii="Times New Roman" w:hAnsi="Times New Roman" w:cs="Times New Roman"/>
          <w:b/>
          <w:sz w:val="24"/>
          <w:szCs w:val="24"/>
          <w:lang w:val="en-GB"/>
        </w:rPr>
        <w:t>Complete the following table juxtaposing the 4 different worldviews on global environmental change. This activity will help you clarify the views shared as well as the differences.</w:t>
      </w:r>
    </w:p>
    <w:p w14:paraId="2F57F590" w14:textId="77777777" w:rsidR="00770E63" w:rsidRPr="00793773" w:rsidRDefault="00770E63" w:rsidP="00793773">
      <w:pPr>
        <w:autoSpaceDE w:val="0"/>
        <w:autoSpaceDN w:val="0"/>
        <w:adjustRightInd w:val="0"/>
        <w:spacing w:after="0" w:line="240" w:lineRule="auto"/>
        <w:ind w:left="97" w:right="83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a3"/>
        <w:tblW w:w="0" w:type="auto"/>
        <w:tblInd w:w="97" w:type="dxa"/>
        <w:tblLayout w:type="fixed"/>
        <w:tblLook w:val="04A0" w:firstRow="1" w:lastRow="0" w:firstColumn="1" w:lastColumn="0" w:noHBand="0" w:noVBand="1"/>
      </w:tblPr>
      <w:tblGrid>
        <w:gridCol w:w="1996"/>
        <w:gridCol w:w="1843"/>
        <w:gridCol w:w="2409"/>
        <w:gridCol w:w="2177"/>
      </w:tblGrid>
      <w:tr w:rsidR="00770E63" w:rsidRPr="00793773" w14:paraId="63272008" w14:textId="77777777" w:rsidTr="007C604C">
        <w:tc>
          <w:tcPr>
            <w:tcW w:w="1996" w:type="dxa"/>
          </w:tcPr>
          <w:p w14:paraId="5C74675C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Worldview</w:t>
            </w:r>
          </w:p>
        </w:tc>
        <w:tc>
          <w:tcPr>
            <w:tcW w:w="1843" w:type="dxa"/>
          </w:tcPr>
          <w:p w14:paraId="78AE0A49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Representative</w:t>
            </w:r>
          </w:p>
        </w:tc>
        <w:tc>
          <w:tcPr>
            <w:tcW w:w="2409" w:type="dxa"/>
          </w:tcPr>
          <w:p w14:paraId="47CD98DE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Causes of environmental degradation</w:t>
            </w:r>
          </w:p>
        </w:tc>
        <w:tc>
          <w:tcPr>
            <w:tcW w:w="2177" w:type="dxa"/>
          </w:tcPr>
          <w:p w14:paraId="356E4A5A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Solutions to environmental degradation</w:t>
            </w:r>
          </w:p>
        </w:tc>
      </w:tr>
      <w:tr w:rsidR="00770E63" w:rsidRPr="00793773" w14:paraId="4649EE9B" w14:textId="77777777" w:rsidTr="007C604C">
        <w:tc>
          <w:tcPr>
            <w:tcW w:w="1996" w:type="dxa"/>
          </w:tcPr>
          <w:p w14:paraId="6F04BBBA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Market Liberals</w:t>
            </w:r>
          </w:p>
        </w:tc>
        <w:tc>
          <w:tcPr>
            <w:tcW w:w="1843" w:type="dxa"/>
          </w:tcPr>
          <w:p w14:paraId="23A2D332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88CEC1F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4B3BA1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E3B4537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2DB0B87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855E486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409" w:type="dxa"/>
          </w:tcPr>
          <w:p w14:paraId="122CE883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7" w:type="dxa"/>
          </w:tcPr>
          <w:p w14:paraId="5FE09891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770E63" w:rsidRPr="00793773" w14:paraId="45793096" w14:textId="77777777" w:rsidTr="007C604C">
        <w:tc>
          <w:tcPr>
            <w:tcW w:w="1996" w:type="dxa"/>
          </w:tcPr>
          <w:p w14:paraId="1D539AC9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Institutionalists</w:t>
            </w:r>
          </w:p>
        </w:tc>
        <w:tc>
          <w:tcPr>
            <w:tcW w:w="1843" w:type="dxa"/>
          </w:tcPr>
          <w:p w14:paraId="2B65C8C5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AD3E66F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2E3C2B5C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55825CA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1AE8728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F83DC08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409" w:type="dxa"/>
          </w:tcPr>
          <w:p w14:paraId="509CD1DB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7" w:type="dxa"/>
          </w:tcPr>
          <w:p w14:paraId="2B2BAC2E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770E63" w:rsidRPr="00793773" w14:paraId="6303B470" w14:textId="77777777" w:rsidTr="007C604C">
        <w:tc>
          <w:tcPr>
            <w:tcW w:w="1996" w:type="dxa"/>
          </w:tcPr>
          <w:p w14:paraId="5549B618" w14:textId="77777777" w:rsidR="007C604C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Bio</w:t>
            </w:r>
            <w:r w:rsidR="007C604C" w:rsidRPr="0079377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07DB9B20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environmentalists</w:t>
            </w:r>
          </w:p>
        </w:tc>
        <w:tc>
          <w:tcPr>
            <w:tcW w:w="1843" w:type="dxa"/>
          </w:tcPr>
          <w:p w14:paraId="0EDADD64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D6BF2BB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14BF2FC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49B57B8C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2518712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CB795E2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409" w:type="dxa"/>
          </w:tcPr>
          <w:p w14:paraId="49FDB87F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7" w:type="dxa"/>
          </w:tcPr>
          <w:p w14:paraId="259BBF39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770E63" w:rsidRPr="00793773" w14:paraId="12945EC5" w14:textId="77777777" w:rsidTr="007C604C">
        <w:tc>
          <w:tcPr>
            <w:tcW w:w="1996" w:type="dxa"/>
          </w:tcPr>
          <w:p w14:paraId="202E1883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93773">
              <w:rPr>
                <w:rFonts w:ascii="Times New Roman" w:hAnsi="Times New Roman" w:cs="Times New Roman"/>
                <w:b/>
                <w:bCs/>
                <w:lang w:val="en-GB"/>
              </w:rPr>
              <w:t>Social Greens</w:t>
            </w:r>
          </w:p>
        </w:tc>
        <w:tc>
          <w:tcPr>
            <w:tcW w:w="1843" w:type="dxa"/>
          </w:tcPr>
          <w:p w14:paraId="236F1BAE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78859DA0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38FD04E7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5DB1DC78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0B63DD89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11368081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409" w:type="dxa"/>
          </w:tcPr>
          <w:p w14:paraId="72EC7D06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2177" w:type="dxa"/>
          </w:tcPr>
          <w:p w14:paraId="758536CD" w14:textId="77777777" w:rsidR="00770E63" w:rsidRPr="00793773" w:rsidRDefault="00770E63" w:rsidP="00793773">
            <w:pPr>
              <w:autoSpaceDE w:val="0"/>
              <w:autoSpaceDN w:val="0"/>
              <w:adjustRightInd w:val="0"/>
              <w:ind w:right="83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1046EA0" w14:textId="77777777" w:rsidR="00770E63" w:rsidRPr="00793773" w:rsidRDefault="00770E63" w:rsidP="00793773">
      <w:pPr>
        <w:autoSpaceDE w:val="0"/>
        <w:autoSpaceDN w:val="0"/>
        <w:adjustRightInd w:val="0"/>
        <w:spacing w:after="0" w:line="240" w:lineRule="auto"/>
        <w:ind w:left="97" w:right="83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0214DFC6" w14:textId="77777777" w:rsidR="00D55D4E" w:rsidRPr="00793773" w:rsidRDefault="00D55D4E" w:rsidP="0079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D954C4" w14:textId="77777777" w:rsidR="00D55D4E" w:rsidRPr="00793773" w:rsidRDefault="00D55D4E" w:rsidP="0079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95D8FF" w14:textId="77777777" w:rsidR="00970C1B" w:rsidRPr="00793773" w:rsidRDefault="00970C1B" w:rsidP="00793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70C1B" w:rsidRPr="00793773" w:rsidSect="00CF69C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80E66" w14:textId="77777777" w:rsidR="00F400C6" w:rsidRDefault="00F400C6" w:rsidP="00D55D4E">
      <w:pPr>
        <w:spacing w:after="0" w:line="240" w:lineRule="auto"/>
      </w:pPr>
      <w:r>
        <w:separator/>
      </w:r>
    </w:p>
  </w:endnote>
  <w:endnote w:type="continuationSeparator" w:id="0">
    <w:p w14:paraId="23145361" w14:textId="77777777" w:rsidR="00F400C6" w:rsidRDefault="00F400C6" w:rsidP="00D5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088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8921B" w14:textId="77777777" w:rsidR="00D55D4E" w:rsidRDefault="00D55D4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0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49F712" w14:textId="77777777" w:rsidR="00D55D4E" w:rsidRDefault="00D55D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7B379" w14:textId="77777777" w:rsidR="00F400C6" w:rsidRDefault="00F400C6" w:rsidP="00D55D4E">
      <w:pPr>
        <w:spacing w:after="0" w:line="240" w:lineRule="auto"/>
      </w:pPr>
      <w:r>
        <w:separator/>
      </w:r>
    </w:p>
  </w:footnote>
  <w:footnote w:type="continuationSeparator" w:id="0">
    <w:p w14:paraId="1791EC18" w14:textId="77777777" w:rsidR="00F400C6" w:rsidRDefault="00F400C6" w:rsidP="00D5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60E0"/>
    <w:multiLevelType w:val="hybridMultilevel"/>
    <w:tmpl w:val="6F12A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664"/>
    <w:multiLevelType w:val="multilevel"/>
    <w:tmpl w:val="A77C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6856"/>
    <w:multiLevelType w:val="hybridMultilevel"/>
    <w:tmpl w:val="C9D68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70721"/>
    <w:multiLevelType w:val="hybridMultilevel"/>
    <w:tmpl w:val="18446C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A7190"/>
    <w:multiLevelType w:val="hybridMultilevel"/>
    <w:tmpl w:val="BA1C4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0F8"/>
    <w:multiLevelType w:val="hybridMultilevel"/>
    <w:tmpl w:val="CA023D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64C1D"/>
    <w:multiLevelType w:val="hybridMultilevel"/>
    <w:tmpl w:val="31329E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9F"/>
    <w:rsid w:val="000A089F"/>
    <w:rsid w:val="001B7D70"/>
    <w:rsid w:val="0021552E"/>
    <w:rsid w:val="00252076"/>
    <w:rsid w:val="002C1293"/>
    <w:rsid w:val="0032133A"/>
    <w:rsid w:val="00335DC9"/>
    <w:rsid w:val="00480057"/>
    <w:rsid w:val="00573553"/>
    <w:rsid w:val="005E4A3E"/>
    <w:rsid w:val="00692D88"/>
    <w:rsid w:val="00751D17"/>
    <w:rsid w:val="00770E63"/>
    <w:rsid w:val="00793773"/>
    <w:rsid w:val="007B7504"/>
    <w:rsid w:val="007C604C"/>
    <w:rsid w:val="008216F6"/>
    <w:rsid w:val="008C3F77"/>
    <w:rsid w:val="00913CC6"/>
    <w:rsid w:val="00941537"/>
    <w:rsid w:val="00970C1B"/>
    <w:rsid w:val="00A1573A"/>
    <w:rsid w:val="00BB5C25"/>
    <w:rsid w:val="00C57021"/>
    <w:rsid w:val="00CE7C34"/>
    <w:rsid w:val="00CF4C8F"/>
    <w:rsid w:val="00CF69CB"/>
    <w:rsid w:val="00D55D4E"/>
    <w:rsid w:val="00D9218C"/>
    <w:rsid w:val="00E028FE"/>
    <w:rsid w:val="00E65B46"/>
    <w:rsid w:val="00E674B8"/>
    <w:rsid w:val="00F03A7D"/>
    <w:rsid w:val="00F400C6"/>
    <w:rsid w:val="00FC21A7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08C1"/>
  <w15:docId w15:val="{813C3FA1-A0E0-1940-B0D8-173F2FF2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553"/>
  </w:style>
  <w:style w:type="table" w:styleId="a3">
    <w:name w:val="Table Grid"/>
    <w:basedOn w:val="a1"/>
    <w:uiPriority w:val="59"/>
    <w:rsid w:val="0077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D7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E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E4A3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70C1B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55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55D4E"/>
  </w:style>
  <w:style w:type="paragraph" w:styleId="a7">
    <w:name w:val="footer"/>
    <w:basedOn w:val="a"/>
    <w:link w:val="Char1"/>
    <w:uiPriority w:val="99"/>
    <w:unhideWhenUsed/>
    <w:rsid w:val="00D55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55D4E"/>
  </w:style>
  <w:style w:type="character" w:styleId="-0">
    <w:name w:val="FollowedHyperlink"/>
    <w:basedOn w:val="a0"/>
    <w:uiPriority w:val="99"/>
    <w:semiHidden/>
    <w:unhideWhenUsed/>
    <w:rsid w:val="00793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3509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22418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Ifigeneia Machili</cp:lastModifiedBy>
  <cp:revision>6</cp:revision>
  <cp:lastPrinted>2013-11-30T09:53:00Z</cp:lastPrinted>
  <dcterms:created xsi:type="dcterms:W3CDTF">2020-03-24T11:38:00Z</dcterms:created>
  <dcterms:modified xsi:type="dcterms:W3CDTF">2021-03-19T06:29:00Z</dcterms:modified>
</cp:coreProperties>
</file>